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0E3" w:rsidRDefault="008E21F2">
      <w:pPr>
        <w:jc w:val="center"/>
        <w:rPr>
          <w:rFonts w:ascii="Tahoma" w:hAnsi="Tahoma"/>
          <w:b/>
          <w:sz w:val="32"/>
          <w:szCs w:val="32"/>
        </w:rPr>
      </w:pPr>
      <w:r w:rsidRPr="007150E3">
        <w:rPr>
          <w:rFonts w:ascii="Tahoma" w:hAnsi="Tahoma"/>
          <w:b/>
          <w:sz w:val="32"/>
          <w:szCs w:val="32"/>
        </w:rPr>
        <w:t>CAWOOD C</w:t>
      </w:r>
      <w:r w:rsidR="00D46847">
        <w:rPr>
          <w:rFonts w:ascii="Tahoma" w:hAnsi="Tahoma"/>
          <w:b/>
          <w:sz w:val="32"/>
          <w:szCs w:val="32"/>
        </w:rPr>
        <w:t>HURCH OF ENGLAND (VA)</w:t>
      </w:r>
      <w:r w:rsidRPr="007150E3">
        <w:rPr>
          <w:rFonts w:ascii="Tahoma" w:hAnsi="Tahoma"/>
          <w:b/>
          <w:sz w:val="32"/>
          <w:szCs w:val="32"/>
        </w:rPr>
        <w:t xml:space="preserve"> </w:t>
      </w:r>
    </w:p>
    <w:p w:rsidR="008E21F2" w:rsidRPr="007150E3" w:rsidRDefault="007150E3">
      <w:pPr>
        <w:jc w:val="center"/>
        <w:rPr>
          <w:rFonts w:ascii="Tahoma" w:hAnsi="Tahoma"/>
          <w:b/>
          <w:sz w:val="32"/>
          <w:szCs w:val="32"/>
        </w:rPr>
      </w:pPr>
      <w:r w:rsidRPr="000E3BF4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1E0E74E0" wp14:editId="2BA66E79">
            <wp:simplePos x="0" y="0"/>
            <wp:positionH relativeFrom="margin">
              <wp:posOffset>0</wp:posOffset>
            </wp:positionH>
            <wp:positionV relativeFrom="paragraph">
              <wp:posOffset>173355</wp:posOffset>
            </wp:positionV>
            <wp:extent cx="1314450" cy="1292582"/>
            <wp:effectExtent l="0" t="0" r="0" b="317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92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1F2" w:rsidRPr="007150E3">
        <w:rPr>
          <w:rFonts w:ascii="Tahoma" w:hAnsi="Tahoma"/>
          <w:b/>
          <w:sz w:val="32"/>
          <w:szCs w:val="32"/>
        </w:rPr>
        <w:t>PRIMARY SCHOOL</w:t>
      </w:r>
    </w:p>
    <w:p w:rsidR="008E21F2" w:rsidRDefault="008E21F2">
      <w:pPr>
        <w:jc w:val="both"/>
        <w:rPr>
          <w:rFonts w:ascii="Tahoma" w:hAnsi="Tahoma"/>
          <w:sz w:val="28"/>
        </w:rPr>
      </w:pPr>
    </w:p>
    <w:p w:rsidR="008E21F2" w:rsidRDefault="007150E3">
      <w:pPr>
        <w:pStyle w:val="Heading1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Assessment and Recording Policy (2018)</w:t>
      </w:r>
    </w:p>
    <w:p w:rsidR="007150E3" w:rsidRDefault="007150E3" w:rsidP="007150E3"/>
    <w:p w:rsidR="007150E3" w:rsidRDefault="007150E3" w:rsidP="007150E3"/>
    <w:p w:rsidR="007150E3" w:rsidRDefault="007150E3" w:rsidP="007150E3"/>
    <w:p w:rsidR="007150E3" w:rsidRDefault="007150E3" w:rsidP="007150E3"/>
    <w:p w:rsidR="007150E3" w:rsidRPr="007150E3" w:rsidRDefault="007150E3" w:rsidP="007150E3"/>
    <w:p w:rsidR="008E21F2" w:rsidRDefault="008E21F2">
      <w:pPr>
        <w:jc w:val="both"/>
        <w:rPr>
          <w:rFonts w:ascii="Tahoma" w:hAnsi="Tahoma"/>
          <w:sz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68"/>
        <w:gridCol w:w="2342"/>
        <w:gridCol w:w="2605"/>
        <w:gridCol w:w="2605"/>
      </w:tblGrid>
      <w:tr w:rsidR="00A73262" w:rsidTr="00366D4E">
        <w:tc>
          <w:tcPr>
            <w:tcW w:w="10420" w:type="dxa"/>
            <w:gridSpan w:val="4"/>
          </w:tcPr>
          <w:p w:rsidR="00A73262" w:rsidRDefault="00A73262" w:rsidP="00366D4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Document Status</w:t>
            </w:r>
          </w:p>
        </w:tc>
      </w:tr>
      <w:tr w:rsidR="00A73262" w:rsidTr="00366D4E">
        <w:tc>
          <w:tcPr>
            <w:tcW w:w="2868" w:type="dxa"/>
          </w:tcPr>
          <w:p w:rsidR="00A73262" w:rsidRDefault="00A73262" w:rsidP="00366D4E">
            <w:pPr>
              <w:pStyle w:val="Default"/>
              <w:rPr>
                <w:b/>
              </w:rPr>
            </w:pPr>
            <w:r>
              <w:rPr>
                <w:b/>
              </w:rPr>
              <w:t>Date of next review</w:t>
            </w:r>
          </w:p>
        </w:tc>
        <w:tc>
          <w:tcPr>
            <w:tcW w:w="2342" w:type="dxa"/>
          </w:tcPr>
          <w:p w:rsidR="007150E3" w:rsidRPr="00E21343" w:rsidRDefault="007150E3" w:rsidP="00366D4E">
            <w:pPr>
              <w:pStyle w:val="Default"/>
            </w:pPr>
            <w:r>
              <w:t>March 2019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A73262" w:rsidRDefault="00A73262" w:rsidP="00366D4E">
            <w:pPr>
              <w:pStyle w:val="Default"/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A73262" w:rsidRPr="00E21343" w:rsidRDefault="00A73262" w:rsidP="00366D4E">
            <w:pPr>
              <w:pStyle w:val="Default"/>
            </w:pPr>
            <w:r>
              <w:t xml:space="preserve">Teaching and Learning </w:t>
            </w:r>
            <w:r w:rsidRPr="00E21343">
              <w:t>Committee</w:t>
            </w:r>
          </w:p>
        </w:tc>
      </w:tr>
      <w:tr w:rsidR="00A73262" w:rsidTr="00366D4E">
        <w:tc>
          <w:tcPr>
            <w:tcW w:w="2868" w:type="dxa"/>
          </w:tcPr>
          <w:p w:rsidR="00A73262" w:rsidRDefault="00A73262" w:rsidP="00366D4E">
            <w:pPr>
              <w:pStyle w:val="Default"/>
              <w:rPr>
                <w:b/>
              </w:rPr>
            </w:pPr>
            <w:r>
              <w:rPr>
                <w:b/>
              </w:rPr>
              <w:t>Date of Policy Creation</w:t>
            </w:r>
          </w:p>
        </w:tc>
        <w:tc>
          <w:tcPr>
            <w:tcW w:w="2342" w:type="dxa"/>
          </w:tcPr>
          <w:p w:rsidR="00A73262" w:rsidRPr="00E21343" w:rsidRDefault="00471090" w:rsidP="00366D4E">
            <w:pPr>
              <w:pStyle w:val="Default"/>
            </w:pPr>
            <w:r>
              <w:t>03 February 2014</w:t>
            </w:r>
          </w:p>
        </w:tc>
        <w:tc>
          <w:tcPr>
            <w:tcW w:w="5210" w:type="dxa"/>
            <w:gridSpan w:val="2"/>
            <w:shd w:val="clear" w:color="auto" w:fill="C0C0C0"/>
          </w:tcPr>
          <w:p w:rsidR="00A73262" w:rsidRDefault="00D46847" w:rsidP="00366D4E">
            <w:pPr>
              <w:pStyle w:val="Default"/>
              <w:rPr>
                <w:b/>
              </w:rPr>
            </w:pPr>
            <w:r>
              <w:rPr>
                <w:b/>
              </w:rPr>
              <w:t>Status: Approved</w:t>
            </w:r>
            <w:r w:rsidR="00A36658">
              <w:rPr>
                <w:b/>
              </w:rPr>
              <w:t xml:space="preserve"> at full GB     14</w:t>
            </w:r>
            <w:r w:rsidR="005B34D0">
              <w:rPr>
                <w:b/>
              </w:rPr>
              <w:t>.3.18</w:t>
            </w:r>
          </w:p>
        </w:tc>
      </w:tr>
      <w:tr w:rsidR="00A73262" w:rsidTr="00366D4E">
        <w:tc>
          <w:tcPr>
            <w:tcW w:w="5210" w:type="dxa"/>
            <w:gridSpan w:val="2"/>
          </w:tcPr>
          <w:p w:rsidR="00A73262" w:rsidRDefault="00A73262" w:rsidP="00366D4E">
            <w:pPr>
              <w:pStyle w:val="Default"/>
              <w:rPr>
                <w:b/>
              </w:rPr>
            </w:pPr>
            <w:r>
              <w:rPr>
                <w:b/>
              </w:rPr>
              <w:t>Date of Policy Adoption by Governing Body</w:t>
            </w:r>
          </w:p>
        </w:tc>
        <w:tc>
          <w:tcPr>
            <w:tcW w:w="2605" w:type="dxa"/>
          </w:tcPr>
          <w:p w:rsidR="00A73262" w:rsidRDefault="00A73262" w:rsidP="00366D4E">
            <w:pPr>
              <w:pStyle w:val="Default"/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2605" w:type="dxa"/>
          </w:tcPr>
          <w:p w:rsidR="00A73262" w:rsidRPr="00E21343" w:rsidRDefault="00A73262" w:rsidP="00366D4E">
            <w:pPr>
              <w:pStyle w:val="Default"/>
            </w:pPr>
            <w:r w:rsidRPr="00E21343">
              <w:t xml:space="preserve">Chair of </w:t>
            </w:r>
            <w:r>
              <w:t>Teaching and Learning</w:t>
            </w:r>
          </w:p>
        </w:tc>
      </w:tr>
      <w:tr w:rsidR="00A73262" w:rsidTr="00366D4E">
        <w:tc>
          <w:tcPr>
            <w:tcW w:w="5210" w:type="dxa"/>
            <w:gridSpan w:val="2"/>
          </w:tcPr>
          <w:p w:rsidR="00A73262" w:rsidRPr="00E21343" w:rsidRDefault="00471090" w:rsidP="00366D4E">
            <w:pPr>
              <w:pStyle w:val="Default"/>
            </w:pPr>
            <w:r>
              <w:t>25 February 2014</w:t>
            </w:r>
          </w:p>
        </w:tc>
        <w:tc>
          <w:tcPr>
            <w:tcW w:w="2605" w:type="dxa"/>
            <w:vMerge w:val="restart"/>
            <w:vAlign w:val="center"/>
          </w:tcPr>
          <w:p w:rsidR="00A73262" w:rsidRDefault="00A73262" w:rsidP="00366D4E">
            <w:pPr>
              <w:pStyle w:val="Default"/>
              <w:rPr>
                <w:b/>
              </w:rPr>
            </w:pPr>
            <w:r>
              <w:rPr>
                <w:b/>
              </w:rPr>
              <w:t>Signed</w:t>
            </w:r>
          </w:p>
        </w:tc>
        <w:tc>
          <w:tcPr>
            <w:tcW w:w="2605" w:type="dxa"/>
            <w:vMerge w:val="restart"/>
          </w:tcPr>
          <w:p w:rsidR="00A73262" w:rsidRDefault="00A73262" w:rsidP="00366D4E">
            <w:pPr>
              <w:pStyle w:val="Default"/>
              <w:rPr>
                <w:b/>
              </w:rPr>
            </w:pPr>
          </w:p>
          <w:p w:rsidR="00A73262" w:rsidRDefault="00A73262" w:rsidP="00366D4E">
            <w:pPr>
              <w:pStyle w:val="Default"/>
              <w:rPr>
                <w:b/>
              </w:rPr>
            </w:pPr>
          </w:p>
        </w:tc>
      </w:tr>
      <w:tr w:rsidR="00A73262" w:rsidTr="00366D4E">
        <w:tc>
          <w:tcPr>
            <w:tcW w:w="5210" w:type="dxa"/>
            <w:gridSpan w:val="2"/>
          </w:tcPr>
          <w:p w:rsidR="00A73262" w:rsidRDefault="00A73262" w:rsidP="00366D4E">
            <w:pPr>
              <w:pStyle w:val="Default"/>
              <w:rPr>
                <w:b/>
              </w:rPr>
            </w:pPr>
            <w:r>
              <w:rPr>
                <w:b/>
              </w:rPr>
              <w:t>Method of Communication</w:t>
            </w:r>
          </w:p>
        </w:tc>
        <w:tc>
          <w:tcPr>
            <w:tcW w:w="2605" w:type="dxa"/>
            <w:vMerge/>
          </w:tcPr>
          <w:p w:rsidR="00A73262" w:rsidRDefault="00A73262" w:rsidP="00366D4E">
            <w:pPr>
              <w:pStyle w:val="Default"/>
              <w:rPr>
                <w:b/>
              </w:rPr>
            </w:pPr>
          </w:p>
        </w:tc>
        <w:tc>
          <w:tcPr>
            <w:tcW w:w="2605" w:type="dxa"/>
            <w:vMerge/>
          </w:tcPr>
          <w:p w:rsidR="00A73262" w:rsidRDefault="00A73262" w:rsidP="00366D4E">
            <w:pPr>
              <w:pStyle w:val="Default"/>
              <w:rPr>
                <w:b/>
              </w:rPr>
            </w:pPr>
          </w:p>
        </w:tc>
      </w:tr>
      <w:tr w:rsidR="00A73262" w:rsidTr="00366D4E">
        <w:tc>
          <w:tcPr>
            <w:tcW w:w="5210" w:type="dxa"/>
            <w:gridSpan w:val="2"/>
          </w:tcPr>
          <w:p w:rsidR="00A73262" w:rsidRPr="00E21343" w:rsidRDefault="00A73262" w:rsidP="00366D4E">
            <w:pPr>
              <w:pStyle w:val="Default"/>
            </w:pPr>
            <w:r w:rsidRPr="00E21343">
              <w:t>Website</w:t>
            </w:r>
            <w:r>
              <w:t>, Server</w:t>
            </w:r>
          </w:p>
        </w:tc>
        <w:tc>
          <w:tcPr>
            <w:tcW w:w="2605" w:type="dxa"/>
            <w:vMerge/>
          </w:tcPr>
          <w:p w:rsidR="00A73262" w:rsidRDefault="00A73262" w:rsidP="00366D4E">
            <w:pPr>
              <w:pStyle w:val="Default"/>
              <w:rPr>
                <w:b/>
              </w:rPr>
            </w:pPr>
          </w:p>
        </w:tc>
        <w:tc>
          <w:tcPr>
            <w:tcW w:w="2605" w:type="dxa"/>
            <w:vMerge/>
          </w:tcPr>
          <w:p w:rsidR="00A73262" w:rsidRDefault="00A73262" w:rsidP="00366D4E">
            <w:pPr>
              <w:pStyle w:val="Default"/>
              <w:rPr>
                <w:b/>
              </w:rPr>
            </w:pPr>
          </w:p>
        </w:tc>
      </w:tr>
    </w:tbl>
    <w:p w:rsidR="00A73262" w:rsidRPr="00582E2C" w:rsidRDefault="00A73262" w:rsidP="00A73262">
      <w:pPr>
        <w:pStyle w:val="Body"/>
        <w:spacing w:after="0" w:line="240" w:lineRule="exact"/>
        <w:rPr>
          <w:sz w:val="16"/>
          <w:szCs w:val="16"/>
        </w:rPr>
      </w:pPr>
    </w:p>
    <w:p w:rsidR="008E21F2" w:rsidRDefault="008E21F2">
      <w:pPr>
        <w:jc w:val="both"/>
        <w:rPr>
          <w:rFonts w:ascii="Tahoma" w:hAnsi="Tahoma"/>
          <w:sz w:val="22"/>
        </w:rPr>
      </w:pPr>
    </w:p>
    <w:p w:rsidR="008E21F2" w:rsidRDefault="008E21F2">
      <w:p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At Cawood CE Primary School we aim to continuously assess the progress of each child and to plan learning programmes based on the information gained.  </w:t>
      </w:r>
      <w:r>
        <w:rPr>
          <w:rFonts w:ascii="Tahoma" w:hAnsi="Tahoma"/>
          <w:b/>
          <w:sz w:val="22"/>
        </w:rPr>
        <w:t>We aim to record that which is significant.</w:t>
      </w:r>
    </w:p>
    <w:p w:rsidR="008E21F2" w:rsidRDefault="008E21F2">
      <w:pPr>
        <w:jc w:val="both"/>
        <w:rPr>
          <w:rFonts w:ascii="Tahoma" w:hAnsi="Tahoma"/>
          <w:b/>
          <w:sz w:val="22"/>
        </w:rPr>
      </w:pPr>
    </w:p>
    <w:p w:rsidR="008E21F2" w:rsidRDefault="008E21F2">
      <w:pPr>
        <w:pStyle w:val="Heading2"/>
        <w:jc w:val="both"/>
        <w:rPr>
          <w:rFonts w:ascii="Tahoma" w:hAnsi="Tahoma"/>
        </w:rPr>
      </w:pPr>
      <w:r>
        <w:rPr>
          <w:rFonts w:ascii="Tahoma" w:hAnsi="Tahoma"/>
        </w:rPr>
        <w:t>Assessment and Recording at Cawood CE Primary School:</w:t>
      </w:r>
    </w:p>
    <w:p w:rsidR="008E21F2" w:rsidRDefault="008E21F2" w:rsidP="00F65DD6">
      <w:pPr>
        <w:numPr>
          <w:ilvl w:val="12"/>
          <w:numId w:val="0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</w:t>
      </w:r>
    </w:p>
    <w:p w:rsidR="008E21F2" w:rsidRDefault="008E21F2" w:rsidP="00F65DD6">
      <w:pPr>
        <w:numPr>
          <w:ilvl w:val="0"/>
          <w:numId w:val="1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is formative – assessment for learning; and summative – assessment of learning</w:t>
      </w:r>
    </w:p>
    <w:p w:rsidR="005067CF" w:rsidRPr="00D46847" w:rsidRDefault="005067CF" w:rsidP="00D46847">
      <w:pPr>
        <w:rPr>
          <w:rFonts w:ascii="Tahoma" w:hAnsi="Tahoma"/>
          <w:sz w:val="22"/>
        </w:rPr>
      </w:pPr>
    </w:p>
    <w:p w:rsidR="005067CF" w:rsidRPr="00D46847" w:rsidRDefault="005067CF" w:rsidP="005067CF">
      <w:pPr>
        <w:numPr>
          <w:ilvl w:val="0"/>
          <w:numId w:val="1"/>
        </w:numPr>
        <w:jc w:val="both"/>
        <w:rPr>
          <w:rFonts w:ascii="Tahoma" w:hAnsi="Tahoma"/>
          <w:sz w:val="22"/>
        </w:rPr>
      </w:pPr>
      <w:r w:rsidRPr="00D46847">
        <w:rPr>
          <w:rFonts w:ascii="Tahoma" w:hAnsi="Tahoma"/>
          <w:sz w:val="22"/>
        </w:rPr>
        <w:t xml:space="preserve">makes judgements of the child’s attainment and progress set against the early years framework and the national Age Related Expectations (ARE) </w:t>
      </w:r>
    </w:p>
    <w:p w:rsidR="008E21F2" w:rsidRDefault="005067CF" w:rsidP="00F65DD6">
      <w:pPr>
        <w:numPr>
          <w:ilvl w:val="12"/>
          <w:numId w:val="0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                                                                   </w:t>
      </w:r>
    </w:p>
    <w:p w:rsidR="005067CF" w:rsidRPr="005067CF" w:rsidRDefault="005067CF" w:rsidP="005067CF">
      <w:pPr>
        <w:pStyle w:val="ListParagraph"/>
        <w:numPr>
          <w:ilvl w:val="0"/>
          <w:numId w:val="1"/>
        </w:numPr>
        <w:jc w:val="both"/>
        <w:rPr>
          <w:rFonts w:ascii="Tahoma" w:hAnsi="Tahoma"/>
          <w:sz w:val="22"/>
        </w:rPr>
      </w:pPr>
      <w:proofErr w:type="gramStart"/>
      <w:r>
        <w:rPr>
          <w:rFonts w:ascii="Tahoma" w:hAnsi="Tahoma"/>
          <w:sz w:val="22"/>
        </w:rPr>
        <w:t>can</w:t>
      </w:r>
      <w:proofErr w:type="gramEnd"/>
      <w:r>
        <w:rPr>
          <w:rFonts w:ascii="Tahoma" w:hAnsi="Tahoma"/>
          <w:sz w:val="22"/>
        </w:rPr>
        <w:t xml:space="preserve"> be used diagnostically to ascertain </w:t>
      </w:r>
      <w:r w:rsidRPr="005067CF">
        <w:rPr>
          <w:rFonts w:ascii="Tahoma" w:hAnsi="Tahoma"/>
          <w:i/>
          <w:sz w:val="22"/>
        </w:rPr>
        <w:t>gaps</w:t>
      </w:r>
      <w:r>
        <w:rPr>
          <w:rFonts w:ascii="Tahoma" w:hAnsi="Tahoma"/>
          <w:sz w:val="22"/>
        </w:rPr>
        <w:t xml:space="preserve"> in a child’s knowledge, skills or understanding.</w:t>
      </w:r>
    </w:p>
    <w:p w:rsidR="008E21F2" w:rsidRDefault="008E21F2" w:rsidP="00F65DD6">
      <w:pPr>
        <w:numPr>
          <w:ilvl w:val="12"/>
          <w:numId w:val="0"/>
        </w:numPr>
        <w:jc w:val="both"/>
        <w:rPr>
          <w:rFonts w:ascii="Tahoma" w:hAnsi="Tahoma"/>
          <w:sz w:val="22"/>
        </w:rPr>
      </w:pPr>
    </w:p>
    <w:p w:rsidR="008E21F2" w:rsidRPr="00D46847" w:rsidRDefault="008E21F2" w:rsidP="00F65DD6">
      <w:pPr>
        <w:numPr>
          <w:ilvl w:val="0"/>
          <w:numId w:val="1"/>
        </w:numPr>
        <w:jc w:val="both"/>
        <w:rPr>
          <w:rFonts w:ascii="Tahoma" w:hAnsi="Tahoma"/>
          <w:sz w:val="22"/>
        </w:rPr>
      </w:pPr>
      <w:r w:rsidRPr="00D46847">
        <w:rPr>
          <w:rFonts w:ascii="Tahoma" w:hAnsi="Tahoma"/>
          <w:sz w:val="22"/>
        </w:rPr>
        <w:t>is used for target setting</w:t>
      </w:r>
      <w:r w:rsidR="005067CF" w:rsidRPr="00D46847">
        <w:rPr>
          <w:rFonts w:ascii="Tahoma" w:hAnsi="Tahoma"/>
          <w:sz w:val="22"/>
        </w:rPr>
        <w:t>, grouping children in a teaching context, setting and reviewing intervention groups</w:t>
      </w:r>
    </w:p>
    <w:p w:rsidR="008E21F2" w:rsidRDefault="008E21F2" w:rsidP="00F65DD6">
      <w:pPr>
        <w:jc w:val="both"/>
        <w:rPr>
          <w:rFonts w:ascii="Tahoma" w:hAnsi="Tahoma"/>
          <w:sz w:val="22"/>
        </w:rPr>
      </w:pPr>
    </w:p>
    <w:p w:rsidR="005067CF" w:rsidRPr="00D46847" w:rsidRDefault="007D4BCE" w:rsidP="007D4BCE">
      <w:pPr>
        <w:pStyle w:val="ListParagraph"/>
        <w:numPr>
          <w:ilvl w:val="0"/>
          <w:numId w:val="1"/>
        </w:numPr>
        <w:jc w:val="both"/>
        <w:rPr>
          <w:rFonts w:ascii="Tahoma" w:hAnsi="Tahoma"/>
          <w:sz w:val="22"/>
        </w:rPr>
      </w:pPr>
      <w:r w:rsidRPr="00D46847">
        <w:rPr>
          <w:rFonts w:ascii="Tahoma" w:hAnsi="Tahoma"/>
          <w:sz w:val="22"/>
        </w:rPr>
        <w:t>involves all stakeholders in the teaching a</w:t>
      </w:r>
      <w:r w:rsidR="00577A97" w:rsidRPr="00D46847">
        <w:rPr>
          <w:rFonts w:ascii="Tahoma" w:hAnsi="Tahoma"/>
          <w:sz w:val="22"/>
        </w:rPr>
        <w:t>nd learning proc</w:t>
      </w:r>
      <w:r w:rsidRPr="00D46847">
        <w:rPr>
          <w:rFonts w:ascii="Tahoma" w:hAnsi="Tahoma"/>
          <w:sz w:val="22"/>
        </w:rPr>
        <w:t>ess: all staff, children, parents, governors, advisors, the diocese, the local authority</w:t>
      </w:r>
    </w:p>
    <w:p w:rsidR="008E21F2" w:rsidRDefault="008E21F2">
      <w:pPr>
        <w:jc w:val="both"/>
        <w:rPr>
          <w:rFonts w:ascii="Tahoma" w:hAnsi="Tahoma"/>
          <w:sz w:val="22"/>
        </w:rPr>
      </w:pPr>
    </w:p>
    <w:p w:rsidR="008E21F2" w:rsidRDefault="008E21F2">
      <w:pPr>
        <w:pStyle w:val="Heading2"/>
        <w:jc w:val="both"/>
        <w:rPr>
          <w:rFonts w:ascii="Tahoma" w:hAnsi="Tahoma"/>
        </w:rPr>
      </w:pPr>
      <w:r>
        <w:rPr>
          <w:rFonts w:ascii="Tahoma" w:hAnsi="Tahoma"/>
        </w:rPr>
        <w:t xml:space="preserve">Assessment and Record Keeping at Cawood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/>
            </w:rPr>
            <w:t>CE</w:t>
          </w:r>
        </w:smartTag>
        <w:r>
          <w:rPr>
            <w:rFonts w:ascii="Tahoma" w:hAnsi="Tahoma"/>
          </w:rPr>
          <w:t xml:space="preserve"> </w:t>
        </w:r>
        <w:smartTag w:uri="urn:schemas-microsoft-com:office:smarttags" w:element="State">
          <w:r>
            <w:rPr>
              <w:rFonts w:ascii="Tahoma" w:hAnsi="Tahoma"/>
            </w:rPr>
            <w:t>VA</w:t>
          </w:r>
        </w:smartTag>
      </w:smartTag>
      <w:r>
        <w:rPr>
          <w:rFonts w:ascii="Tahoma" w:hAnsi="Tahoma"/>
        </w:rPr>
        <w:t xml:space="preserve"> School includes:</w:t>
      </w:r>
    </w:p>
    <w:p w:rsidR="008E21F2" w:rsidRDefault="008E21F2">
      <w:pPr>
        <w:jc w:val="both"/>
        <w:rPr>
          <w:rFonts w:ascii="Tahoma" w:hAnsi="Tahoma"/>
          <w:sz w:val="22"/>
        </w:rPr>
      </w:pPr>
    </w:p>
    <w:p w:rsidR="008E21F2" w:rsidRPr="00D46847" w:rsidRDefault="008E21F2" w:rsidP="00F65DD6">
      <w:pPr>
        <w:numPr>
          <w:ilvl w:val="0"/>
          <w:numId w:val="2"/>
        </w:numPr>
        <w:jc w:val="both"/>
        <w:rPr>
          <w:rFonts w:ascii="Tahoma" w:hAnsi="Tahoma"/>
          <w:sz w:val="22"/>
        </w:rPr>
      </w:pPr>
      <w:r w:rsidRPr="00D46847">
        <w:rPr>
          <w:rFonts w:ascii="Tahoma" w:hAnsi="Tahoma"/>
          <w:sz w:val="22"/>
        </w:rPr>
        <w:t>Long and Medium Term Planning – assessment for learning</w:t>
      </w:r>
      <w:r w:rsidR="007D4BCE" w:rsidRPr="00D46847">
        <w:rPr>
          <w:rFonts w:ascii="Tahoma" w:hAnsi="Tahoma"/>
          <w:sz w:val="22"/>
        </w:rPr>
        <w:t xml:space="preserve"> (Mastery and responsive teaching)</w:t>
      </w:r>
      <w:r w:rsidRPr="00D46847">
        <w:rPr>
          <w:rFonts w:ascii="Tahoma" w:hAnsi="Tahoma"/>
          <w:sz w:val="22"/>
        </w:rPr>
        <w:t xml:space="preserve"> is embedded into daily practice throughout the school. This is evidenced in teachers’ planning and is based on observational assessment by the teachers and teaching assistants and involves pupils in the</w:t>
      </w:r>
      <w:r w:rsidR="007D4BCE" w:rsidRPr="00D46847">
        <w:rPr>
          <w:rFonts w:ascii="Tahoma" w:hAnsi="Tahoma"/>
          <w:sz w:val="22"/>
        </w:rPr>
        <w:t xml:space="preserve"> evaluation and</w:t>
      </w:r>
      <w:r w:rsidRPr="00D46847">
        <w:rPr>
          <w:rFonts w:ascii="Tahoma" w:hAnsi="Tahoma"/>
          <w:sz w:val="22"/>
        </w:rPr>
        <w:t xml:space="preserve"> assessment of their learning. </w:t>
      </w:r>
    </w:p>
    <w:p w:rsidR="008E21F2" w:rsidRDefault="008E21F2" w:rsidP="00F65DD6">
      <w:pPr>
        <w:numPr>
          <w:ilvl w:val="12"/>
          <w:numId w:val="0"/>
        </w:numPr>
        <w:ind w:left="720"/>
        <w:jc w:val="both"/>
        <w:rPr>
          <w:rFonts w:ascii="Tahoma" w:hAnsi="Tahoma"/>
          <w:sz w:val="22"/>
        </w:rPr>
      </w:pPr>
    </w:p>
    <w:p w:rsidR="00D46847" w:rsidRDefault="00D46847" w:rsidP="00F65DD6">
      <w:pPr>
        <w:numPr>
          <w:ilvl w:val="12"/>
          <w:numId w:val="0"/>
        </w:numPr>
        <w:ind w:left="720"/>
        <w:jc w:val="both"/>
        <w:rPr>
          <w:rFonts w:ascii="Tahoma" w:hAnsi="Tahoma"/>
          <w:sz w:val="22"/>
        </w:rPr>
      </w:pPr>
    </w:p>
    <w:p w:rsidR="00D46847" w:rsidRDefault="00D46847" w:rsidP="00F65DD6">
      <w:pPr>
        <w:numPr>
          <w:ilvl w:val="12"/>
          <w:numId w:val="0"/>
        </w:numPr>
        <w:ind w:left="720"/>
        <w:jc w:val="both"/>
        <w:rPr>
          <w:rFonts w:ascii="Tahoma" w:hAnsi="Tahoma"/>
          <w:sz w:val="22"/>
        </w:rPr>
      </w:pPr>
    </w:p>
    <w:p w:rsidR="00D46847" w:rsidRPr="00D46847" w:rsidRDefault="00D46847" w:rsidP="00F65DD6">
      <w:pPr>
        <w:numPr>
          <w:ilvl w:val="12"/>
          <w:numId w:val="0"/>
        </w:numPr>
        <w:ind w:left="720"/>
        <w:jc w:val="both"/>
        <w:rPr>
          <w:rFonts w:ascii="Tahoma" w:hAnsi="Tahoma"/>
          <w:sz w:val="22"/>
        </w:rPr>
      </w:pPr>
    </w:p>
    <w:p w:rsidR="008E21F2" w:rsidRPr="00D46847" w:rsidRDefault="008E21F2" w:rsidP="00F65DD6">
      <w:pPr>
        <w:numPr>
          <w:ilvl w:val="0"/>
          <w:numId w:val="2"/>
        </w:numPr>
        <w:jc w:val="both"/>
        <w:rPr>
          <w:rFonts w:ascii="Tahoma" w:hAnsi="Tahoma"/>
          <w:sz w:val="22"/>
        </w:rPr>
      </w:pPr>
      <w:r w:rsidRPr="00D46847">
        <w:rPr>
          <w:rFonts w:ascii="Tahoma" w:hAnsi="Tahoma"/>
          <w:sz w:val="22"/>
        </w:rPr>
        <w:lastRenderedPageBreak/>
        <w:t>We achieve agreement on pupil</w:t>
      </w:r>
      <w:r w:rsidR="007D4BCE" w:rsidRPr="00D46847">
        <w:rPr>
          <w:rFonts w:ascii="Tahoma" w:hAnsi="Tahoma"/>
          <w:sz w:val="22"/>
        </w:rPr>
        <w:t xml:space="preserve"> progress and attainment </w:t>
      </w:r>
      <w:r w:rsidRPr="00D46847">
        <w:rPr>
          <w:rFonts w:ascii="Tahoma" w:hAnsi="Tahoma"/>
          <w:sz w:val="22"/>
        </w:rPr>
        <w:t>by</w:t>
      </w:r>
    </w:p>
    <w:p w:rsidR="008E21F2" w:rsidRDefault="008E21F2" w:rsidP="00F65DD6">
      <w:pPr>
        <w:numPr>
          <w:ilvl w:val="12"/>
          <w:numId w:val="0"/>
        </w:numPr>
        <w:jc w:val="both"/>
        <w:rPr>
          <w:rFonts w:ascii="Tahoma" w:hAnsi="Tahoma"/>
          <w:sz w:val="22"/>
        </w:rPr>
      </w:pPr>
    </w:p>
    <w:p w:rsidR="008E21F2" w:rsidRDefault="008E21F2" w:rsidP="00F65DD6">
      <w:pPr>
        <w:numPr>
          <w:ilvl w:val="0"/>
          <w:numId w:val="1"/>
        </w:numPr>
        <w:ind w:left="108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Mark schemes for statutory end of Key Stage tests</w:t>
      </w:r>
    </w:p>
    <w:p w:rsidR="008E21F2" w:rsidRPr="00902A42" w:rsidRDefault="008E21F2" w:rsidP="00F65DD6">
      <w:pPr>
        <w:numPr>
          <w:ilvl w:val="0"/>
          <w:numId w:val="1"/>
        </w:numPr>
        <w:ind w:left="1080"/>
        <w:jc w:val="both"/>
        <w:rPr>
          <w:rFonts w:ascii="Tahoma" w:hAnsi="Tahoma"/>
          <w:sz w:val="22"/>
        </w:rPr>
      </w:pPr>
      <w:r w:rsidRPr="00902A42">
        <w:rPr>
          <w:rFonts w:ascii="Tahoma" w:hAnsi="Tahoma"/>
          <w:sz w:val="22"/>
        </w:rPr>
        <w:t>QCA mark schemes for Years 3, 4 and 5</w:t>
      </w:r>
      <w:r w:rsidR="00A73262" w:rsidRPr="00902A42">
        <w:rPr>
          <w:rFonts w:ascii="Tahoma" w:hAnsi="Tahoma"/>
          <w:sz w:val="22"/>
        </w:rPr>
        <w:t xml:space="preserve"> optional tests and </w:t>
      </w:r>
      <w:proofErr w:type="spellStart"/>
      <w:r w:rsidR="00A73262" w:rsidRPr="00902A42">
        <w:rPr>
          <w:rFonts w:ascii="Tahoma" w:hAnsi="Tahoma"/>
          <w:sz w:val="22"/>
        </w:rPr>
        <w:t>NfER</w:t>
      </w:r>
      <w:proofErr w:type="spellEnd"/>
      <w:r w:rsidR="00A73262" w:rsidRPr="00902A42">
        <w:rPr>
          <w:rFonts w:ascii="Tahoma" w:hAnsi="Tahoma"/>
          <w:sz w:val="22"/>
        </w:rPr>
        <w:t xml:space="preserve"> Tests for Maths and Reading</w:t>
      </w:r>
    </w:p>
    <w:p w:rsidR="007D4BCE" w:rsidRPr="00902A42" w:rsidRDefault="00412667" w:rsidP="007D4BCE">
      <w:pPr>
        <w:numPr>
          <w:ilvl w:val="0"/>
          <w:numId w:val="1"/>
        </w:numPr>
        <w:ind w:left="1080"/>
        <w:jc w:val="both"/>
        <w:rPr>
          <w:rFonts w:ascii="Tahoma" w:hAnsi="Tahoma"/>
          <w:sz w:val="22"/>
        </w:rPr>
      </w:pPr>
      <w:r w:rsidRPr="00902A42">
        <w:rPr>
          <w:rFonts w:ascii="Tahoma" w:hAnsi="Tahoma"/>
          <w:sz w:val="22"/>
        </w:rPr>
        <w:t>Making judge</w:t>
      </w:r>
      <w:r w:rsidR="007D4BCE" w:rsidRPr="00902A42">
        <w:rPr>
          <w:rFonts w:ascii="Tahoma" w:hAnsi="Tahoma"/>
          <w:sz w:val="22"/>
        </w:rPr>
        <w:t xml:space="preserve">ments using the </w:t>
      </w:r>
      <w:r w:rsidRPr="00902A42">
        <w:rPr>
          <w:rFonts w:ascii="Tahoma" w:hAnsi="Tahoma"/>
          <w:sz w:val="22"/>
        </w:rPr>
        <w:t xml:space="preserve">age appropriate Age Related Expectations </w:t>
      </w:r>
      <w:r w:rsidR="00577A97" w:rsidRPr="00902A42">
        <w:rPr>
          <w:rFonts w:ascii="Tahoma" w:hAnsi="Tahoma"/>
          <w:sz w:val="22"/>
        </w:rPr>
        <w:t>(</w:t>
      </w:r>
      <w:r w:rsidRPr="00902A42">
        <w:rPr>
          <w:rFonts w:ascii="Tahoma" w:hAnsi="Tahoma"/>
          <w:sz w:val="22"/>
        </w:rPr>
        <w:t>ARE</w:t>
      </w:r>
      <w:r w:rsidR="00577A97" w:rsidRPr="00902A42">
        <w:rPr>
          <w:rFonts w:ascii="Tahoma" w:hAnsi="Tahoma"/>
          <w:sz w:val="22"/>
        </w:rPr>
        <w:t>)</w:t>
      </w:r>
    </w:p>
    <w:p w:rsidR="008E21F2" w:rsidRPr="00902A42" w:rsidRDefault="008E21F2" w:rsidP="00F65DD6">
      <w:pPr>
        <w:numPr>
          <w:ilvl w:val="0"/>
          <w:numId w:val="1"/>
        </w:numPr>
        <w:ind w:left="1080"/>
        <w:jc w:val="both"/>
        <w:rPr>
          <w:rFonts w:ascii="Tahoma" w:hAnsi="Tahoma"/>
          <w:sz w:val="22"/>
        </w:rPr>
      </w:pPr>
      <w:r w:rsidRPr="00902A42">
        <w:rPr>
          <w:rFonts w:ascii="Tahoma" w:hAnsi="Tahoma"/>
          <w:sz w:val="22"/>
        </w:rPr>
        <w:t>Moderation with col</w:t>
      </w:r>
      <w:r w:rsidR="00A73262" w:rsidRPr="00902A42">
        <w:rPr>
          <w:rFonts w:ascii="Tahoma" w:hAnsi="Tahoma"/>
          <w:sz w:val="22"/>
        </w:rPr>
        <w:t>leagues at our school and other cluster schools</w:t>
      </w:r>
    </w:p>
    <w:p w:rsidR="008E21F2" w:rsidRPr="00902A42" w:rsidRDefault="008E21F2" w:rsidP="001235C4">
      <w:pPr>
        <w:numPr>
          <w:ilvl w:val="0"/>
          <w:numId w:val="1"/>
        </w:numPr>
        <w:ind w:left="1080"/>
        <w:jc w:val="both"/>
        <w:rPr>
          <w:rFonts w:ascii="Tahoma" w:hAnsi="Tahoma"/>
          <w:sz w:val="22"/>
        </w:rPr>
      </w:pPr>
      <w:r w:rsidRPr="00902A42">
        <w:rPr>
          <w:rFonts w:ascii="Tahoma" w:hAnsi="Tahoma"/>
          <w:sz w:val="22"/>
        </w:rPr>
        <w:t>Moderation of the FS profile</w:t>
      </w:r>
      <w:r w:rsidR="00A73262" w:rsidRPr="00902A42">
        <w:rPr>
          <w:rFonts w:ascii="Tahoma" w:hAnsi="Tahoma"/>
          <w:sz w:val="22"/>
        </w:rPr>
        <w:t xml:space="preserve"> and other LA moderation</w:t>
      </w:r>
    </w:p>
    <w:p w:rsidR="008E21F2" w:rsidRPr="00902A42" w:rsidRDefault="008E21F2" w:rsidP="001235C4">
      <w:pPr>
        <w:numPr>
          <w:ilvl w:val="0"/>
          <w:numId w:val="1"/>
        </w:numPr>
        <w:ind w:left="1080"/>
        <w:jc w:val="both"/>
        <w:rPr>
          <w:rFonts w:ascii="Tahoma" w:hAnsi="Tahoma"/>
          <w:sz w:val="22"/>
        </w:rPr>
      </w:pPr>
      <w:r w:rsidRPr="00902A42">
        <w:rPr>
          <w:rFonts w:ascii="Tahoma" w:hAnsi="Tahoma"/>
          <w:sz w:val="22"/>
        </w:rPr>
        <w:t xml:space="preserve">Use </w:t>
      </w:r>
      <w:r w:rsidR="00577A97" w:rsidRPr="00902A42">
        <w:rPr>
          <w:rFonts w:ascii="Tahoma" w:hAnsi="Tahoma"/>
          <w:sz w:val="22"/>
        </w:rPr>
        <w:t>support materials.</w:t>
      </w:r>
    </w:p>
    <w:p w:rsidR="008E21F2" w:rsidRPr="00902A42" w:rsidRDefault="008E21F2" w:rsidP="002558D6">
      <w:pPr>
        <w:jc w:val="both"/>
        <w:rPr>
          <w:rFonts w:ascii="Tahoma" w:hAnsi="Tahoma"/>
          <w:strike/>
          <w:sz w:val="22"/>
        </w:rPr>
      </w:pPr>
    </w:p>
    <w:p w:rsidR="007D4BCE" w:rsidRPr="00902A42" w:rsidRDefault="007D4BCE" w:rsidP="001235C4">
      <w:pPr>
        <w:numPr>
          <w:ilvl w:val="0"/>
          <w:numId w:val="1"/>
        </w:numPr>
        <w:ind w:left="1080"/>
        <w:jc w:val="both"/>
        <w:rPr>
          <w:rFonts w:ascii="Tahoma" w:hAnsi="Tahoma"/>
          <w:sz w:val="22"/>
        </w:rPr>
      </w:pPr>
      <w:r w:rsidRPr="00902A42">
        <w:rPr>
          <w:rFonts w:ascii="Tahoma" w:hAnsi="Tahoma"/>
          <w:sz w:val="22"/>
        </w:rPr>
        <w:t>Writing moderation</w:t>
      </w:r>
    </w:p>
    <w:p w:rsidR="00412667" w:rsidRPr="00902A42" w:rsidRDefault="00412667" w:rsidP="001235C4">
      <w:pPr>
        <w:numPr>
          <w:ilvl w:val="0"/>
          <w:numId w:val="1"/>
        </w:numPr>
        <w:ind w:left="1080"/>
        <w:jc w:val="both"/>
        <w:rPr>
          <w:rFonts w:ascii="Tahoma" w:hAnsi="Tahoma"/>
          <w:sz w:val="22"/>
        </w:rPr>
      </w:pPr>
      <w:r w:rsidRPr="00902A42">
        <w:rPr>
          <w:rFonts w:ascii="Tahoma" w:hAnsi="Tahoma"/>
          <w:sz w:val="22"/>
        </w:rPr>
        <w:t>Analysis and discussion at pupil progress meetings every half term</w:t>
      </w:r>
    </w:p>
    <w:p w:rsidR="008E21F2" w:rsidRDefault="008E21F2" w:rsidP="001235C4">
      <w:pPr>
        <w:jc w:val="both"/>
        <w:rPr>
          <w:rFonts w:ascii="Tahoma" w:hAnsi="Tahoma"/>
          <w:sz w:val="22"/>
        </w:rPr>
      </w:pPr>
    </w:p>
    <w:p w:rsidR="008E21F2" w:rsidRDefault="008E21F2" w:rsidP="00F65DD6">
      <w:pPr>
        <w:numPr>
          <w:ilvl w:val="0"/>
          <w:numId w:val="2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Individual Pupil Portfolios - these include</w:t>
      </w:r>
    </w:p>
    <w:p w:rsidR="008E21F2" w:rsidRDefault="008E21F2" w:rsidP="00F65DD6">
      <w:pPr>
        <w:numPr>
          <w:ilvl w:val="12"/>
          <w:numId w:val="0"/>
        </w:numPr>
        <w:jc w:val="both"/>
        <w:rPr>
          <w:rFonts w:ascii="Tahoma" w:hAnsi="Tahoma"/>
          <w:sz w:val="22"/>
        </w:rPr>
      </w:pPr>
    </w:p>
    <w:p w:rsidR="008E21F2" w:rsidRPr="00902A42" w:rsidRDefault="008E21F2" w:rsidP="001235C4">
      <w:pPr>
        <w:numPr>
          <w:ilvl w:val="0"/>
          <w:numId w:val="3"/>
        </w:numPr>
        <w:jc w:val="both"/>
        <w:rPr>
          <w:rFonts w:ascii="Tahoma" w:hAnsi="Tahoma"/>
          <w:sz w:val="22"/>
        </w:rPr>
      </w:pPr>
      <w:r w:rsidRPr="00902A42">
        <w:rPr>
          <w:rFonts w:ascii="Tahoma" w:hAnsi="Tahoma"/>
          <w:sz w:val="22"/>
        </w:rPr>
        <w:t xml:space="preserve">End of EYFS Individual Record Sheet from </w:t>
      </w:r>
      <w:r w:rsidR="00A73262" w:rsidRPr="00902A42">
        <w:rPr>
          <w:rFonts w:ascii="Tahoma" w:hAnsi="Tahoma"/>
          <w:sz w:val="22"/>
        </w:rPr>
        <w:t>SIMS</w:t>
      </w:r>
      <w:r w:rsidRPr="00902A42">
        <w:rPr>
          <w:rFonts w:ascii="Tahoma" w:hAnsi="Tahoma"/>
          <w:sz w:val="22"/>
        </w:rPr>
        <w:t xml:space="preserve"> assessment materials</w:t>
      </w:r>
    </w:p>
    <w:p w:rsidR="008E21F2" w:rsidRPr="00902A42" w:rsidRDefault="008E21F2" w:rsidP="001235C4">
      <w:pPr>
        <w:numPr>
          <w:ilvl w:val="0"/>
          <w:numId w:val="3"/>
        </w:numPr>
        <w:jc w:val="both"/>
        <w:rPr>
          <w:rFonts w:ascii="Tahoma" w:hAnsi="Tahoma"/>
          <w:sz w:val="22"/>
        </w:rPr>
      </w:pPr>
      <w:r w:rsidRPr="00902A42">
        <w:rPr>
          <w:rFonts w:ascii="Tahoma" w:hAnsi="Tahoma"/>
          <w:sz w:val="22"/>
        </w:rPr>
        <w:t>End of Key Stage Assessments</w:t>
      </w:r>
      <w:r w:rsidR="00A73262" w:rsidRPr="00902A42">
        <w:rPr>
          <w:rFonts w:ascii="Tahoma" w:hAnsi="Tahoma"/>
          <w:sz w:val="22"/>
        </w:rPr>
        <w:t>, including the Year 1 Phonics Screening Test</w:t>
      </w:r>
    </w:p>
    <w:p w:rsidR="008E21F2" w:rsidRPr="00902A42" w:rsidRDefault="008E21F2" w:rsidP="001235C4">
      <w:pPr>
        <w:numPr>
          <w:ilvl w:val="0"/>
          <w:numId w:val="3"/>
        </w:numPr>
        <w:jc w:val="both"/>
        <w:rPr>
          <w:rFonts w:ascii="Tahoma" w:hAnsi="Tahoma"/>
          <w:sz w:val="22"/>
        </w:rPr>
      </w:pPr>
      <w:r w:rsidRPr="00902A42">
        <w:rPr>
          <w:rFonts w:ascii="Tahoma" w:hAnsi="Tahoma"/>
          <w:sz w:val="22"/>
        </w:rPr>
        <w:t>Copies of Reports to Parents</w:t>
      </w:r>
      <w:r w:rsidR="00412667" w:rsidRPr="00902A42">
        <w:rPr>
          <w:rFonts w:ascii="Tahoma" w:hAnsi="Tahoma"/>
          <w:sz w:val="22"/>
        </w:rPr>
        <w:t xml:space="preserve"> including a March mid –term report and a final end of year report.</w:t>
      </w:r>
    </w:p>
    <w:p w:rsidR="008E21F2" w:rsidRPr="00902A42" w:rsidRDefault="008E21F2" w:rsidP="001235C4">
      <w:pPr>
        <w:numPr>
          <w:ilvl w:val="0"/>
          <w:numId w:val="3"/>
        </w:numPr>
        <w:jc w:val="both"/>
        <w:rPr>
          <w:rFonts w:ascii="Tahoma" w:hAnsi="Tahoma"/>
          <w:sz w:val="22"/>
        </w:rPr>
      </w:pPr>
      <w:r w:rsidRPr="00902A42">
        <w:rPr>
          <w:rFonts w:ascii="Tahoma" w:hAnsi="Tahoma"/>
          <w:sz w:val="22"/>
        </w:rPr>
        <w:t>Copies of any medical, social or SEN reports</w:t>
      </w:r>
      <w:r w:rsidR="00A73262" w:rsidRPr="00902A42">
        <w:rPr>
          <w:rFonts w:ascii="Tahoma" w:hAnsi="Tahoma"/>
          <w:sz w:val="22"/>
        </w:rPr>
        <w:t xml:space="preserve"> or letters regarding absence during term time</w:t>
      </w:r>
    </w:p>
    <w:p w:rsidR="008E21F2" w:rsidRPr="00902A42" w:rsidRDefault="008E21F2" w:rsidP="00F65DD6">
      <w:pPr>
        <w:numPr>
          <w:ilvl w:val="12"/>
          <w:numId w:val="0"/>
        </w:numPr>
        <w:jc w:val="both"/>
        <w:rPr>
          <w:rFonts w:ascii="Tahoma" w:hAnsi="Tahoma"/>
          <w:sz w:val="22"/>
        </w:rPr>
      </w:pPr>
    </w:p>
    <w:p w:rsidR="008E21F2" w:rsidRPr="00902A42" w:rsidRDefault="008E21F2" w:rsidP="00F65DD6">
      <w:pPr>
        <w:numPr>
          <w:ilvl w:val="0"/>
          <w:numId w:val="2"/>
        </w:numPr>
        <w:jc w:val="both"/>
        <w:rPr>
          <w:rFonts w:ascii="Tahoma" w:hAnsi="Tahoma"/>
          <w:sz w:val="22"/>
        </w:rPr>
      </w:pPr>
      <w:r w:rsidRPr="00902A42">
        <w:rPr>
          <w:rFonts w:ascii="Tahoma" w:hAnsi="Tahoma"/>
          <w:sz w:val="22"/>
        </w:rPr>
        <w:t xml:space="preserve">Additional Assessment Portfolios include </w:t>
      </w:r>
    </w:p>
    <w:p w:rsidR="008E21F2" w:rsidRPr="00902A42" w:rsidRDefault="008E21F2" w:rsidP="00F65DD6">
      <w:pPr>
        <w:numPr>
          <w:ilvl w:val="12"/>
          <w:numId w:val="0"/>
        </w:numPr>
        <w:jc w:val="both"/>
        <w:rPr>
          <w:rFonts w:ascii="Tahoma" w:hAnsi="Tahoma"/>
          <w:sz w:val="22"/>
        </w:rPr>
      </w:pPr>
    </w:p>
    <w:p w:rsidR="008E21F2" w:rsidRPr="00902A42" w:rsidRDefault="008E21F2" w:rsidP="00F35C01">
      <w:pPr>
        <w:numPr>
          <w:ilvl w:val="0"/>
          <w:numId w:val="4"/>
        </w:numPr>
        <w:jc w:val="both"/>
        <w:rPr>
          <w:rFonts w:ascii="Tahoma" w:hAnsi="Tahoma"/>
          <w:sz w:val="22"/>
        </w:rPr>
      </w:pPr>
      <w:r w:rsidRPr="00902A42">
        <w:rPr>
          <w:rFonts w:ascii="Tahoma" w:hAnsi="Tahoma"/>
          <w:sz w:val="22"/>
        </w:rPr>
        <w:t>Learning Journals for pupils in EYFS</w:t>
      </w:r>
      <w:r w:rsidR="00A73262" w:rsidRPr="00902A42">
        <w:rPr>
          <w:rFonts w:ascii="Tahoma" w:hAnsi="Tahoma"/>
          <w:sz w:val="22"/>
        </w:rPr>
        <w:t xml:space="preserve"> and online </w:t>
      </w:r>
      <w:r w:rsidR="00412667" w:rsidRPr="00902A42">
        <w:rPr>
          <w:rFonts w:ascii="Tahoma" w:hAnsi="Tahoma"/>
          <w:sz w:val="22"/>
        </w:rPr>
        <w:t>Tapestry</w:t>
      </w:r>
      <w:r w:rsidR="00A73262" w:rsidRPr="00902A42">
        <w:rPr>
          <w:rFonts w:ascii="Tahoma" w:hAnsi="Tahoma"/>
          <w:sz w:val="22"/>
        </w:rPr>
        <w:t xml:space="preserve"> records</w:t>
      </w:r>
    </w:p>
    <w:p w:rsidR="008E21F2" w:rsidRDefault="008E21F2" w:rsidP="001235C4">
      <w:pPr>
        <w:numPr>
          <w:ilvl w:val="0"/>
          <w:numId w:val="4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 child’s individual ICT file on the school server</w:t>
      </w:r>
    </w:p>
    <w:p w:rsidR="008E21F2" w:rsidRDefault="00F35C01" w:rsidP="001235C4">
      <w:pPr>
        <w:numPr>
          <w:ilvl w:val="0"/>
          <w:numId w:val="4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Age related standard files</w:t>
      </w:r>
      <w:r w:rsidR="008E21F2">
        <w:rPr>
          <w:rFonts w:ascii="Tahoma" w:hAnsi="Tahoma"/>
          <w:sz w:val="22"/>
        </w:rPr>
        <w:t xml:space="preserve"> include copies of pupil work</w:t>
      </w:r>
      <w:r>
        <w:rPr>
          <w:rFonts w:ascii="Tahoma" w:hAnsi="Tahoma"/>
          <w:sz w:val="22"/>
        </w:rPr>
        <w:t xml:space="preserve"> </w:t>
      </w:r>
    </w:p>
    <w:p w:rsidR="008E21F2" w:rsidRDefault="008E21F2" w:rsidP="001235C4">
      <w:pPr>
        <w:numPr>
          <w:ilvl w:val="12"/>
          <w:numId w:val="0"/>
        </w:numPr>
        <w:jc w:val="both"/>
        <w:rPr>
          <w:rFonts w:ascii="Tahoma" w:hAnsi="Tahoma"/>
          <w:sz w:val="22"/>
        </w:rPr>
      </w:pPr>
    </w:p>
    <w:p w:rsidR="008E21F2" w:rsidRDefault="008E21F2" w:rsidP="00F65DD6">
      <w:pPr>
        <w:numPr>
          <w:ilvl w:val="0"/>
          <w:numId w:val="2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Individual Record Sheets </w:t>
      </w:r>
      <w:r w:rsidR="005B34D0">
        <w:rPr>
          <w:rFonts w:ascii="Tahoma" w:hAnsi="Tahoma"/>
          <w:sz w:val="22"/>
        </w:rPr>
        <w:t xml:space="preserve">  </w:t>
      </w:r>
    </w:p>
    <w:p w:rsidR="004E544E" w:rsidRPr="00EC7FA5" w:rsidRDefault="004E544E" w:rsidP="001235C4">
      <w:pPr>
        <w:numPr>
          <w:ilvl w:val="0"/>
          <w:numId w:val="5"/>
        </w:numPr>
        <w:jc w:val="both"/>
        <w:rPr>
          <w:rFonts w:ascii="Tahoma" w:hAnsi="Tahoma"/>
          <w:sz w:val="22"/>
        </w:rPr>
      </w:pPr>
      <w:r w:rsidRPr="00EC7FA5">
        <w:rPr>
          <w:rFonts w:ascii="Tahoma" w:hAnsi="Tahoma"/>
          <w:sz w:val="22"/>
        </w:rPr>
        <w:t xml:space="preserve">A tracking spreadsheet of the children’s test results For Reading, Writing, Maths and SPAG. These are </w:t>
      </w:r>
      <w:r w:rsidR="00F35C01" w:rsidRPr="00EC7FA5">
        <w:rPr>
          <w:rFonts w:ascii="Tahoma" w:hAnsi="Tahoma"/>
          <w:sz w:val="22"/>
        </w:rPr>
        <w:t>updated at the end of every half term</w:t>
      </w:r>
      <w:r w:rsidRPr="00EC7FA5">
        <w:rPr>
          <w:rFonts w:ascii="Tahoma" w:hAnsi="Tahoma"/>
          <w:sz w:val="22"/>
        </w:rPr>
        <w:t>.</w:t>
      </w:r>
    </w:p>
    <w:p w:rsidR="008E21F2" w:rsidRPr="00EC7FA5" w:rsidRDefault="008E21F2" w:rsidP="001235C4">
      <w:pPr>
        <w:numPr>
          <w:ilvl w:val="0"/>
          <w:numId w:val="5"/>
        </w:numPr>
        <w:jc w:val="both"/>
        <w:rPr>
          <w:rFonts w:ascii="Tahoma" w:hAnsi="Tahoma"/>
          <w:sz w:val="22"/>
        </w:rPr>
      </w:pPr>
      <w:r w:rsidRPr="00EC7FA5">
        <w:rPr>
          <w:rFonts w:ascii="Tahoma" w:hAnsi="Tahoma"/>
          <w:sz w:val="22"/>
        </w:rPr>
        <w:t xml:space="preserve">The child’s level of </w:t>
      </w:r>
      <w:r w:rsidR="004E544E" w:rsidRPr="00EC7FA5">
        <w:rPr>
          <w:rFonts w:ascii="Tahoma" w:hAnsi="Tahoma"/>
          <w:sz w:val="22"/>
        </w:rPr>
        <w:t xml:space="preserve">attainment </w:t>
      </w:r>
      <w:r w:rsidRPr="00EC7FA5">
        <w:rPr>
          <w:rFonts w:ascii="Tahoma" w:hAnsi="Tahoma"/>
          <w:sz w:val="22"/>
        </w:rPr>
        <w:t>is recorded using teacher assessment and specific</w:t>
      </w:r>
      <w:r w:rsidR="00F35C01" w:rsidRPr="00EC7FA5">
        <w:rPr>
          <w:rFonts w:ascii="Tahoma" w:hAnsi="Tahoma"/>
          <w:sz w:val="22"/>
        </w:rPr>
        <w:t xml:space="preserve"> </w:t>
      </w:r>
      <w:r w:rsidR="004E544E" w:rsidRPr="00EC7FA5">
        <w:rPr>
          <w:rFonts w:ascii="Tahoma" w:hAnsi="Tahoma"/>
          <w:sz w:val="22"/>
        </w:rPr>
        <w:t>tests</w:t>
      </w:r>
    </w:p>
    <w:p w:rsidR="008E21F2" w:rsidRPr="00EC7FA5" w:rsidRDefault="008E21F2" w:rsidP="001235C4">
      <w:pPr>
        <w:numPr>
          <w:ilvl w:val="0"/>
          <w:numId w:val="5"/>
        </w:numPr>
        <w:jc w:val="both"/>
        <w:rPr>
          <w:rFonts w:ascii="Tahoma" w:hAnsi="Tahoma"/>
          <w:sz w:val="22"/>
        </w:rPr>
      </w:pPr>
      <w:r w:rsidRPr="00EC7FA5">
        <w:rPr>
          <w:rFonts w:ascii="Tahoma" w:hAnsi="Tahoma"/>
          <w:sz w:val="22"/>
        </w:rPr>
        <w:t xml:space="preserve">Reading ages are recorded </w:t>
      </w:r>
      <w:r w:rsidR="00A73262" w:rsidRPr="00EC7FA5">
        <w:rPr>
          <w:rFonts w:ascii="Tahoma" w:hAnsi="Tahoma"/>
          <w:sz w:val="22"/>
        </w:rPr>
        <w:t>termly until the child reaches the top of the scale</w:t>
      </w:r>
    </w:p>
    <w:p w:rsidR="00037A39" w:rsidRPr="00EC7FA5" w:rsidRDefault="00037A39" w:rsidP="001235C4">
      <w:pPr>
        <w:numPr>
          <w:ilvl w:val="0"/>
          <w:numId w:val="5"/>
        </w:numPr>
        <w:jc w:val="both"/>
        <w:rPr>
          <w:rFonts w:ascii="Tahoma" w:hAnsi="Tahoma"/>
          <w:sz w:val="22"/>
        </w:rPr>
      </w:pPr>
      <w:r w:rsidRPr="00EC7FA5">
        <w:rPr>
          <w:rFonts w:ascii="Tahoma" w:hAnsi="Tahoma"/>
          <w:sz w:val="22"/>
        </w:rPr>
        <w:t>Reading progress</w:t>
      </w:r>
      <w:r w:rsidR="00F35C01" w:rsidRPr="00EC7FA5">
        <w:rPr>
          <w:rFonts w:ascii="Tahoma" w:hAnsi="Tahoma"/>
          <w:sz w:val="22"/>
        </w:rPr>
        <w:t xml:space="preserve"> is regularly monitored</w:t>
      </w:r>
      <w:r w:rsidRPr="00EC7FA5">
        <w:rPr>
          <w:rFonts w:ascii="Tahoma" w:hAnsi="Tahoma"/>
          <w:sz w:val="22"/>
        </w:rPr>
        <w:t xml:space="preserve"> as part of the RWI monitoring process.</w:t>
      </w:r>
    </w:p>
    <w:p w:rsidR="005B34D0" w:rsidRPr="00EC7FA5" w:rsidRDefault="005B34D0" w:rsidP="001235C4">
      <w:pPr>
        <w:numPr>
          <w:ilvl w:val="0"/>
          <w:numId w:val="5"/>
        </w:numPr>
        <w:jc w:val="both"/>
        <w:rPr>
          <w:rFonts w:ascii="Tahoma" w:hAnsi="Tahoma"/>
          <w:sz w:val="22"/>
        </w:rPr>
      </w:pPr>
      <w:r w:rsidRPr="00EC7FA5">
        <w:rPr>
          <w:rFonts w:ascii="Tahoma" w:hAnsi="Tahoma"/>
          <w:sz w:val="22"/>
        </w:rPr>
        <w:t>Reading records are closely</w:t>
      </w:r>
      <w:r w:rsidR="00807AF5" w:rsidRPr="00EC7FA5">
        <w:rPr>
          <w:rFonts w:ascii="Tahoma" w:hAnsi="Tahoma"/>
          <w:sz w:val="22"/>
        </w:rPr>
        <w:t xml:space="preserve"> monitored at KS1 and KS 2 to monitor reading, fluency and comprehension</w:t>
      </w:r>
    </w:p>
    <w:p w:rsidR="008E21F2" w:rsidRPr="00807AF5" w:rsidRDefault="00A73262" w:rsidP="00807AF5">
      <w:pPr>
        <w:pStyle w:val="ListParagraph"/>
        <w:numPr>
          <w:ilvl w:val="0"/>
          <w:numId w:val="5"/>
        </w:numPr>
        <w:jc w:val="both"/>
        <w:rPr>
          <w:rFonts w:ascii="Tahoma" w:hAnsi="Tahoma"/>
          <w:sz w:val="22"/>
        </w:rPr>
      </w:pPr>
      <w:r w:rsidRPr="00807AF5">
        <w:rPr>
          <w:rFonts w:ascii="Tahoma" w:hAnsi="Tahoma"/>
          <w:sz w:val="22"/>
        </w:rPr>
        <w:t>Spelling ages</w:t>
      </w:r>
      <w:r w:rsidR="00807AF5" w:rsidRPr="00807AF5">
        <w:rPr>
          <w:rFonts w:ascii="Tahoma" w:hAnsi="Tahoma"/>
          <w:sz w:val="22"/>
        </w:rPr>
        <w:t xml:space="preserve"> and the RWI spelli</w:t>
      </w:r>
      <w:r w:rsidR="00807AF5">
        <w:rPr>
          <w:rFonts w:ascii="Tahoma" w:hAnsi="Tahoma"/>
          <w:sz w:val="22"/>
        </w:rPr>
        <w:t>ngs are used to measure</w:t>
      </w:r>
      <w:r w:rsidR="00807AF5" w:rsidRPr="00807AF5">
        <w:rPr>
          <w:rFonts w:ascii="Tahoma" w:hAnsi="Tahoma"/>
          <w:sz w:val="22"/>
        </w:rPr>
        <w:t xml:space="preserve"> progress</w:t>
      </w:r>
      <w:r w:rsidR="00807AF5">
        <w:rPr>
          <w:rFonts w:ascii="Tahoma" w:hAnsi="Tahoma"/>
          <w:sz w:val="22"/>
        </w:rPr>
        <w:t xml:space="preserve"> at the end of a unit or on a termly basis.</w:t>
      </w:r>
    </w:p>
    <w:p w:rsidR="008E21F2" w:rsidRDefault="008E21F2" w:rsidP="00F65DD6">
      <w:pPr>
        <w:numPr>
          <w:ilvl w:val="0"/>
          <w:numId w:val="2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Completed project and exercise books are kep</w:t>
      </w:r>
      <w:r w:rsidR="00F55F15">
        <w:rPr>
          <w:rFonts w:ascii="Tahoma" w:hAnsi="Tahoma"/>
          <w:sz w:val="22"/>
        </w:rPr>
        <w:t>t in school for one school year</w:t>
      </w:r>
      <w:r w:rsidR="00807AF5">
        <w:rPr>
          <w:rFonts w:ascii="Tahoma" w:hAnsi="Tahoma"/>
          <w:sz w:val="22"/>
        </w:rPr>
        <w:t xml:space="preserve"> and the </w:t>
      </w:r>
      <w:proofErr w:type="gramStart"/>
      <w:r w:rsidR="00807AF5">
        <w:rPr>
          <w:rFonts w:ascii="Tahoma" w:hAnsi="Tahoma"/>
          <w:sz w:val="22"/>
        </w:rPr>
        <w:t>Autumn</w:t>
      </w:r>
      <w:proofErr w:type="gramEnd"/>
      <w:r w:rsidR="00807AF5">
        <w:rPr>
          <w:rFonts w:ascii="Tahoma" w:hAnsi="Tahoma"/>
          <w:sz w:val="22"/>
        </w:rPr>
        <w:t xml:space="preserve"> term</w:t>
      </w:r>
      <w:r w:rsidR="00F55F15">
        <w:rPr>
          <w:rFonts w:ascii="Tahoma" w:hAnsi="Tahoma"/>
          <w:sz w:val="22"/>
        </w:rPr>
        <w:t xml:space="preserve"> and all books are continued from year to year.</w:t>
      </w:r>
    </w:p>
    <w:p w:rsidR="008E21F2" w:rsidRDefault="008E21F2" w:rsidP="00F65DD6">
      <w:pPr>
        <w:numPr>
          <w:ilvl w:val="12"/>
          <w:numId w:val="0"/>
        </w:numPr>
        <w:jc w:val="both"/>
        <w:rPr>
          <w:rFonts w:ascii="Tahoma" w:hAnsi="Tahoma"/>
          <w:sz w:val="22"/>
        </w:rPr>
      </w:pPr>
    </w:p>
    <w:p w:rsidR="008E21F2" w:rsidRDefault="008E21F2" w:rsidP="00F65DD6">
      <w:pPr>
        <w:numPr>
          <w:ilvl w:val="12"/>
          <w:numId w:val="0"/>
        </w:numPr>
        <w:jc w:val="both"/>
        <w:rPr>
          <w:rFonts w:ascii="Tahoma" w:hAnsi="Tahoma"/>
          <w:sz w:val="22"/>
        </w:rPr>
      </w:pPr>
      <w:r w:rsidRPr="00EC7FA5">
        <w:rPr>
          <w:rFonts w:ascii="Tahoma" w:hAnsi="Tahoma"/>
          <w:sz w:val="22"/>
        </w:rPr>
        <w:t xml:space="preserve">Teachers use their own mark books/files for recording as appropriate. </w:t>
      </w:r>
      <w:r w:rsidR="00EC7FA5">
        <w:rPr>
          <w:rFonts w:ascii="Tahoma" w:hAnsi="Tahoma"/>
          <w:sz w:val="22"/>
        </w:rPr>
        <w:t xml:space="preserve">These are individual teacher’s </w:t>
      </w:r>
      <w:r w:rsidR="005B34D0" w:rsidRPr="00EC7FA5">
        <w:rPr>
          <w:rFonts w:ascii="Tahoma" w:hAnsi="Tahoma"/>
          <w:sz w:val="22"/>
        </w:rPr>
        <w:t>notes and are not part of the overall monitoring</w:t>
      </w:r>
    </w:p>
    <w:p w:rsidR="005B34D0" w:rsidRDefault="005B34D0" w:rsidP="00F65DD6">
      <w:pPr>
        <w:numPr>
          <w:ilvl w:val="12"/>
          <w:numId w:val="0"/>
        </w:numPr>
        <w:jc w:val="both"/>
        <w:rPr>
          <w:rFonts w:ascii="Tahoma" w:hAnsi="Tahoma"/>
          <w:sz w:val="22"/>
        </w:rPr>
      </w:pPr>
    </w:p>
    <w:p w:rsidR="005B34D0" w:rsidRDefault="005B34D0" w:rsidP="00F65DD6">
      <w:pPr>
        <w:numPr>
          <w:ilvl w:val="12"/>
          <w:numId w:val="0"/>
        </w:numPr>
        <w:jc w:val="both"/>
        <w:rPr>
          <w:rFonts w:ascii="Tahoma" w:hAnsi="Tahoma"/>
          <w:sz w:val="22"/>
        </w:rPr>
      </w:pPr>
    </w:p>
    <w:p w:rsidR="005B34D0" w:rsidRPr="005B34D0" w:rsidRDefault="005B34D0" w:rsidP="00F65DD6">
      <w:pPr>
        <w:numPr>
          <w:ilvl w:val="12"/>
          <w:numId w:val="0"/>
        </w:numPr>
        <w:jc w:val="both"/>
        <w:rPr>
          <w:rFonts w:ascii="Tahoma" w:hAnsi="Tahoma"/>
          <w:sz w:val="22"/>
        </w:rPr>
      </w:pPr>
    </w:p>
    <w:p w:rsidR="008E21F2" w:rsidRDefault="008E21F2" w:rsidP="00F65DD6">
      <w:pPr>
        <w:numPr>
          <w:ilvl w:val="0"/>
          <w:numId w:val="2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Reporting to Parents</w:t>
      </w:r>
    </w:p>
    <w:p w:rsidR="008E21F2" w:rsidRDefault="008E21F2" w:rsidP="00F65DD6">
      <w:pPr>
        <w:numPr>
          <w:ilvl w:val="12"/>
          <w:numId w:val="0"/>
        </w:numPr>
        <w:jc w:val="both"/>
        <w:rPr>
          <w:rFonts w:ascii="Tahoma" w:hAnsi="Tahoma"/>
          <w:sz w:val="22"/>
        </w:rPr>
      </w:pPr>
    </w:p>
    <w:p w:rsidR="008E21F2" w:rsidRDefault="008E21F2" w:rsidP="00F65DD6">
      <w:pPr>
        <w:numPr>
          <w:ilvl w:val="0"/>
          <w:numId w:val="1"/>
        </w:numPr>
        <w:ind w:left="108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The Nursery and Reception teachers complete the EYFS profile and report to parents in the first term, discussing with them what the next steps will be.</w:t>
      </w:r>
    </w:p>
    <w:p w:rsidR="008E21F2" w:rsidRDefault="008E21F2" w:rsidP="00F65DD6">
      <w:pPr>
        <w:numPr>
          <w:ilvl w:val="0"/>
          <w:numId w:val="1"/>
        </w:numPr>
        <w:ind w:left="108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Parents are offered two interviews a year, more frequently if considered necessary by the class teacher or parents.</w:t>
      </w:r>
    </w:p>
    <w:p w:rsidR="005B34D0" w:rsidRDefault="008E21F2" w:rsidP="005B34D0">
      <w:pPr>
        <w:numPr>
          <w:ilvl w:val="0"/>
          <w:numId w:val="1"/>
        </w:numPr>
        <w:ind w:left="108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Once a year parents receive written reports, including next steps for learning.</w:t>
      </w:r>
      <w:r w:rsidR="005B34D0">
        <w:rPr>
          <w:rFonts w:ascii="Tahoma" w:hAnsi="Tahoma"/>
          <w:sz w:val="22"/>
        </w:rPr>
        <w:t xml:space="preserve"> Parents also receive an interim report on progress in the </w:t>
      </w:r>
      <w:proofErr w:type="gramStart"/>
      <w:r w:rsidR="005B34D0">
        <w:rPr>
          <w:rFonts w:ascii="Tahoma" w:hAnsi="Tahoma"/>
          <w:sz w:val="22"/>
        </w:rPr>
        <w:t>Spring</w:t>
      </w:r>
      <w:proofErr w:type="gramEnd"/>
      <w:r w:rsidR="005B34D0">
        <w:rPr>
          <w:rFonts w:ascii="Tahoma" w:hAnsi="Tahoma"/>
          <w:sz w:val="22"/>
        </w:rPr>
        <w:t xml:space="preserve"> term.</w:t>
      </w:r>
    </w:p>
    <w:p w:rsidR="008E21F2" w:rsidRDefault="008E21F2" w:rsidP="005B34D0">
      <w:pPr>
        <w:numPr>
          <w:ilvl w:val="0"/>
          <w:numId w:val="1"/>
        </w:numPr>
        <w:ind w:left="1080"/>
        <w:jc w:val="both"/>
        <w:rPr>
          <w:rFonts w:ascii="Tahoma" w:hAnsi="Tahoma"/>
          <w:sz w:val="22"/>
        </w:rPr>
      </w:pPr>
      <w:r w:rsidRPr="005B34D0">
        <w:rPr>
          <w:rFonts w:ascii="Tahoma" w:hAnsi="Tahoma"/>
          <w:sz w:val="22"/>
        </w:rPr>
        <w:lastRenderedPageBreak/>
        <w:t>At the end of Key Stages parents are informed of their child’s level of attainment in the core subjects by using the results from the end of Key Stage Assessments.</w:t>
      </w:r>
    </w:p>
    <w:p w:rsidR="005B34D0" w:rsidRPr="005B34D0" w:rsidRDefault="005B34D0" w:rsidP="005B34D0">
      <w:pPr>
        <w:ind w:left="1080"/>
        <w:jc w:val="both"/>
        <w:rPr>
          <w:rFonts w:ascii="Tahoma" w:hAnsi="Tahoma"/>
          <w:sz w:val="22"/>
        </w:rPr>
      </w:pPr>
    </w:p>
    <w:p w:rsidR="008E21F2" w:rsidRDefault="008E21F2" w:rsidP="00F65DD6">
      <w:pPr>
        <w:numPr>
          <w:ilvl w:val="0"/>
          <w:numId w:val="2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Reporting to a new school</w:t>
      </w:r>
    </w:p>
    <w:p w:rsidR="008E21F2" w:rsidRDefault="008E21F2">
      <w:pPr>
        <w:jc w:val="both"/>
        <w:rPr>
          <w:rFonts w:ascii="Tahoma" w:hAnsi="Tahoma"/>
          <w:sz w:val="22"/>
        </w:rPr>
      </w:pPr>
    </w:p>
    <w:p w:rsidR="008E21F2" w:rsidRDefault="008E21F2" w:rsidP="00471090">
      <w:pPr>
        <w:ind w:left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When children transfer to new schools we use the </w:t>
      </w:r>
      <w:proofErr w:type="spellStart"/>
      <w:r>
        <w:rPr>
          <w:rFonts w:ascii="Tahoma" w:hAnsi="Tahoma"/>
          <w:sz w:val="22"/>
        </w:rPr>
        <w:t>D</w:t>
      </w:r>
      <w:r w:rsidR="00F55F15">
        <w:rPr>
          <w:rFonts w:ascii="Tahoma" w:hAnsi="Tahoma"/>
          <w:sz w:val="22"/>
        </w:rPr>
        <w:t>fE</w:t>
      </w:r>
      <w:proofErr w:type="spellEnd"/>
      <w:r>
        <w:rPr>
          <w:rFonts w:ascii="Tahoma" w:hAnsi="Tahoma"/>
          <w:sz w:val="22"/>
        </w:rPr>
        <w:t xml:space="preserve"> electronic Common Transfer Form</w:t>
      </w:r>
      <w:r w:rsidR="005B34D0">
        <w:rPr>
          <w:rFonts w:ascii="Tahoma" w:hAnsi="Tahoma"/>
          <w:sz w:val="22"/>
        </w:rPr>
        <w:t xml:space="preserve"> </w:t>
      </w:r>
      <w:r w:rsidR="005B34D0" w:rsidRPr="00EC7FA5">
        <w:rPr>
          <w:rFonts w:ascii="Tahoma" w:hAnsi="Tahoma"/>
          <w:sz w:val="22"/>
        </w:rPr>
        <w:t>(CTF)</w:t>
      </w:r>
      <w:r>
        <w:rPr>
          <w:rFonts w:ascii="Tahoma" w:hAnsi="Tahoma"/>
          <w:sz w:val="22"/>
        </w:rPr>
        <w:t xml:space="preserve"> and pass on as much information as possible to help the transition go smoothly and effectively.</w:t>
      </w:r>
      <w:r w:rsidR="00471090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If a child transfers to another primary school we pass on the child’s Individual Portfolio which is updated with a short narrative and his/her exercise and project books.</w:t>
      </w:r>
    </w:p>
    <w:p w:rsidR="008E21F2" w:rsidRDefault="008E21F2">
      <w:pPr>
        <w:jc w:val="both"/>
        <w:rPr>
          <w:rFonts w:ascii="Tahoma" w:hAnsi="Tahoma"/>
          <w:sz w:val="22"/>
        </w:rPr>
      </w:pPr>
    </w:p>
    <w:p w:rsidR="008E21F2" w:rsidRDefault="008E21F2">
      <w:pPr>
        <w:ind w:left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When children transfer to secondary school, the Year 6 teacher liaises closely with the secondary staff, completes the Selby Area Common Transfer form</w:t>
      </w:r>
      <w:r w:rsidR="00F55F15">
        <w:rPr>
          <w:rFonts w:ascii="Tahoma" w:hAnsi="Tahoma"/>
          <w:sz w:val="22"/>
        </w:rPr>
        <w:t xml:space="preserve">, PE levels sheet and </w:t>
      </w:r>
      <w:proofErr w:type="spellStart"/>
      <w:r w:rsidR="00F55F15">
        <w:rPr>
          <w:rFonts w:ascii="Tahoma" w:hAnsi="Tahoma"/>
          <w:sz w:val="22"/>
        </w:rPr>
        <w:t>MfL</w:t>
      </w:r>
      <w:proofErr w:type="spellEnd"/>
      <w:r w:rsidR="00F55F15">
        <w:rPr>
          <w:rFonts w:ascii="Tahoma" w:hAnsi="Tahoma"/>
          <w:sz w:val="22"/>
        </w:rPr>
        <w:t xml:space="preserve"> coverage sheet. They also pass</w:t>
      </w:r>
      <w:r>
        <w:rPr>
          <w:rFonts w:ascii="Tahoma" w:hAnsi="Tahoma"/>
          <w:sz w:val="22"/>
        </w:rPr>
        <w:t xml:space="preserve"> on Individual Portfolios and any further information requested.</w:t>
      </w:r>
    </w:p>
    <w:p w:rsidR="008E21F2" w:rsidRDefault="008E21F2">
      <w:pPr>
        <w:ind w:left="720"/>
        <w:jc w:val="both"/>
        <w:rPr>
          <w:rFonts w:ascii="Tahoma" w:hAnsi="Tahoma"/>
          <w:sz w:val="22"/>
        </w:rPr>
      </w:pPr>
    </w:p>
    <w:p w:rsidR="008E21F2" w:rsidRDefault="008E21F2">
      <w:pPr>
        <w:jc w:val="both"/>
        <w:rPr>
          <w:rFonts w:ascii="Tahoma" w:hAnsi="Tahoma"/>
          <w:sz w:val="22"/>
        </w:rPr>
      </w:pPr>
    </w:p>
    <w:p w:rsidR="008E21F2" w:rsidRDefault="008E21F2" w:rsidP="00471090">
      <w:pPr>
        <w:ind w:left="720" w:hanging="720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NB</w:t>
      </w:r>
      <w:r>
        <w:rPr>
          <w:rFonts w:ascii="Tahoma" w:hAnsi="Tahoma"/>
          <w:b/>
          <w:sz w:val="22"/>
        </w:rPr>
        <w:tab/>
        <w:t>This Policy should be read in conjunction with the Policy for Special Educational Needs and the Policy for the EYFS.</w:t>
      </w:r>
    </w:p>
    <w:p w:rsidR="00EC7FA5" w:rsidRDefault="00EC7FA5" w:rsidP="00471090">
      <w:pPr>
        <w:ind w:left="720" w:hanging="720"/>
        <w:jc w:val="both"/>
        <w:rPr>
          <w:rFonts w:ascii="Tahoma" w:hAnsi="Tahoma"/>
          <w:b/>
          <w:sz w:val="22"/>
        </w:rPr>
      </w:pPr>
    </w:p>
    <w:p w:rsidR="00EC7FA5" w:rsidRDefault="00EC7FA5" w:rsidP="00471090">
      <w:pPr>
        <w:ind w:left="720" w:hanging="720"/>
        <w:jc w:val="both"/>
        <w:rPr>
          <w:rFonts w:ascii="Tahoma" w:hAnsi="Tahoma"/>
          <w:b/>
          <w:sz w:val="22"/>
        </w:rPr>
      </w:pPr>
    </w:p>
    <w:p w:rsidR="00EC7FA5" w:rsidRPr="00471090" w:rsidRDefault="00A36658" w:rsidP="00471090">
      <w:pPr>
        <w:ind w:left="720" w:hanging="720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14</w:t>
      </w:r>
      <w:bookmarkStart w:id="0" w:name="_GoBack"/>
      <w:bookmarkEnd w:id="0"/>
      <w:r w:rsidR="00EC7FA5">
        <w:rPr>
          <w:rFonts w:ascii="Tahoma" w:hAnsi="Tahoma"/>
          <w:b/>
          <w:sz w:val="22"/>
        </w:rPr>
        <w:t>.3.18</w:t>
      </w:r>
    </w:p>
    <w:sectPr w:rsidR="00EC7FA5" w:rsidRPr="00471090" w:rsidSect="008E2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7AC" w:rsidRDefault="008447AC">
      <w:r>
        <w:separator/>
      </w:r>
    </w:p>
  </w:endnote>
  <w:endnote w:type="continuationSeparator" w:id="0">
    <w:p w:rsidR="008447AC" w:rsidRDefault="0084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41" w:rsidRDefault="008712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41" w:rsidRDefault="008712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41" w:rsidRDefault="00871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7AC" w:rsidRDefault="008447AC">
      <w:r>
        <w:separator/>
      </w:r>
    </w:p>
  </w:footnote>
  <w:footnote w:type="continuationSeparator" w:id="0">
    <w:p w:rsidR="008447AC" w:rsidRDefault="00844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41" w:rsidRDefault="008712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41" w:rsidRDefault="008712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41" w:rsidRDefault="008712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29E7424"/>
    <w:lvl w:ilvl="0">
      <w:numFmt w:val="bullet"/>
      <w:lvlText w:val="*"/>
      <w:lvlJc w:val="left"/>
    </w:lvl>
  </w:abstractNum>
  <w:abstractNum w:abstractNumId="1" w15:restartNumberingAfterBreak="0">
    <w:nsid w:val="16724BDC"/>
    <w:multiLevelType w:val="multilevel"/>
    <w:tmpl w:val="040A30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234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270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88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780" w:hanging="180"/>
      </w:pPr>
      <w:rPr>
        <w:rFonts w:cs="Times New Roman"/>
      </w:rPr>
    </w:lvl>
  </w:abstractNum>
  <w:abstractNum w:abstractNumId="2" w15:restartNumberingAfterBreak="0">
    <w:nsid w:val="35640709"/>
    <w:multiLevelType w:val="multilevel"/>
    <w:tmpl w:val="3508C4F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  <w:rPr>
        <w:rFonts w:cs="Times New Roman"/>
      </w:rPr>
    </w:lvl>
  </w:abstractNum>
  <w:abstractNum w:abstractNumId="3" w15:restartNumberingAfterBreak="0">
    <w:nsid w:val="67283858"/>
    <w:multiLevelType w:val="multilevel"/>
    <w:tmpl w:val="8FF8AC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234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270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88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780" w:hanging="180"/>
      </w:pPr>
      <w:rPr>
        <w:rFonts w:cs="Times New Roman"/>
      </w:rPr>
    </w:lvl>
  </w:abstractNum>
  <w:abstractNum w:abstractNumId="4" w15:restartNumberingAfterBreak="0">
    <w:nsid w:val="70912DB6"/>
    <w:multiLevelType w:val="multilevel"/>
    <w:tmpl w:val="98904F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234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270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88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7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D6"/>
    <w:rsid w:val="00037A39"/>
    <w:rsid w:val="001235C4"/>
    <w:rsid w:val="002558D6"/>
    <w:rsid w:val="00412667"/>
    <w:rsid w:val="00471090"/>
    <w:rsid w:val="004E544E"/>
    <w:rsid w:val="005067CF"/>
    <w:rsid w:val="00536571"/>
    <w:rsid w:val="00577A97"/>
    <w:rsid w:val="005B34D0"/>
    <w:rsid w:val="007150E3"/>
    <w:rsid w:val="007D4BCE"/>
    <w:rsid w:val="00807AF5"/>
    <w:rsid w:val="008447AC"/>
    <w:rsid w:val="00871241"/>
    <w:rsid w:val="00892943"/>
    <w:rsid w:val="008C31A1"/>
    <w:rsid w:val="008E21F2"/>
    <w:rsid w:val="00902A42"/>
    <w:rsid w:val="00A12BB7"/>
    <w:rsid w:val="00A36658"/>
    <w:rsid w:val="00A73262"/>
    <w:rsid w:val="00BB13AC"/>
    <w:rsid w:val="00D46847"/>
    <w:rsid w:val="00EC7FA5"/>
    <w:rsid w:val="00F35C01"/>
    <w:rsid w:val="00F55F15"/>
    <w:rsid w:val="00F6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CCCD858A-AAD0-469B-93C0-EF3255B2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7F0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7F0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F0"/>
    <w:rPr>
      <w:sz w:val="0"/>
      <w:szCs w:val="0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17F0"/>
    <w:rPr>
      <w:sz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17F0"/>
    <w:rPr>
      <w:sz w:val="24"/>
      <w:lang w:val="en-GB"/>
    </w:rPr>
  </w:style>
  <w:style w:type="paragraph" w:customStyle="1" w:styleId="Body">
    <w:name w:val="Body"/>
    <w:basedOn w:val="Normal"/>
    <w:rsid w:val="00A73262"/>
    <w:pPr>
      <w:overflowPunct/>
      <w:adjustRightInd/>
      <w:spacing w:after="240" w:line="264" w:lineRule="auto"/>
      <w:jc w:val="both"/>
      <w:textAlignment w:val="auto"/>
    </w:pPr>
    <w:rPr>
      <w:rFonts w:ascii="Arial" w:hAnsi="Arial" w:cs="Arial"/>
      <w:sz w:val="20"/>
      <w:lang w:eastAsia="en-GB"/>
    </w:rPr>
  </w:style>
  <w:style w:type="paragraph" w:customStyle="1" w:styleId="Default">
    <w:name w:val="Default"/>
    <w:rsid w:val="00A732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rsid w:val="00A73262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CAWOOD CE AIDED PRIMARY SCHOOL</vt:lpstr>
    </vt:vector>
  </TitlesOfParts>
  <Company>NYCC</Company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CAWOOD CE AIDED PRIMARY SCHOOL</dc:title>
  <dc:creator>Cawood CE</dc:creator>
  <cp:lastModifiedBy>Andrew Smith</cp:lastModifiedBy>
  <cp:revision>9</cp:revision>
  <cp:lastPrinted>2014-03-03T14:09:00Z</cp:lastPrinted>
  <dcterms:created xsi:type="dcterms:W3CDTF">2014-02-06T18:17:00Z</dcterms:created>
  <dcterms:modified xsi:type="dcterms:W3CDTF">2018-04-10T15:05:00Z</dcterms:modified>
</cp:coreProperties>
</file>